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810F9" w14:textId="77777777" w:rsidR="00726834" w:rsidRDefault="00000000">
      <w:pPr>
        <w:pStyle w:val="a3"/>
        <w:ind w:left="2271"/>
        <w:rPr>
          <w:rFonts w:ascii="Times New Roman"/>
          <w:sz w:val="20"/>
        </w:rPr>
      </w:pPr>
      <w:r>
        <w:rPr>
          <w:noProof/>
        </w:rPr>
        <mc:AlternateContent>
          <mc:Choice Requires="wps">
            <w:drawing>
              <wp:anchor distT="0" distB="0" distL="0" distR="0" simplePos="0" relativeHeight="487550976" behindDoc="1" locked="0" layoutInCell="1" allowOverlap="1" wp14:anchorId="45316844" wp14:editId="1379E461">
                <wp:simplePos x="0" y="0"/>
                <wp:positionH relativeFrom="page">
                  <wp:posOffset>310896</wp:posOffset>
                </wp:positionH>
                <wp:positionV relativeFrom="page">
                  <wp:posOffset>310895</wp:posOffset>
                </wp:positionV>
                <wp:extent cx="6946900" cy="100787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75D3D" id="Graphic 1" o:spid="_x0000_s1026" style="position:absolute;margin-left:24.5pt;margin-top:24.5pt;width:547pt;height:793.6pt;z-index:-15765504;visibility:visible;mso-wrap-style:square;mso-wrap-distance-left:0;mso-wrap-distance-top:0;mso-wrap-distance-right:0;mso-wrap-distance-bottom:0;mso-position-horizontal:absolute;mso-position-horizontal-relative:page;mso-position-vertical:absolute;mso-position-vertical-relative:page;v-text-anchor:top" coordsize="6946900,100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qx1wIAAOoJAAAOAAAAZHJzL2Uyb0RvYy54bWysVt9vmzAQfp+0/8Hy+wohFSlRk2pq1WlS&#10;1VVqpz07xgQ0wJ7t/Oh/v7PhCEmrQarlAZ/Dd8d3dx+cr2/2VUm2QptC1gs6uQgpETWXaVGvF/Tn&#10;y/2XK0qMZXXKSlmLBX0Vht4sP3+63qm5iGQuy1RoAkFqM9+pBc2tVfMgMDwXFTMXUokabmZSV8zC&#10;Vq+DVLMdRK/KIArDONhJnSotuTAG/r1rbtKlj59lgtsfWWaEJeWCAjfrr9pfV+4aLK/ZfK2Zygve&#10;0mAfYFGxooaHdqHumGVko4s3oaqCa2lkZi+4rAKZZQUXPgfIZhKeZPOcMyV8LlAco7oymf8Xlj9u&#10;n9WTdtSNepD8t4GKBDtl5t0dtzEtZp/pymGBONn7Kr52VRR7Szj8GSeXcRJCsTncm4Th7GoW+UIH&#10;bI7+fGPsNyF9LLZ9MLbpQ4oWy9Hi+xpNDd10fSx9Hy0l0EdNCfRx1fRRMev8HEFnkl2PTN7j4gCV&#10;3IoX6aHWpeJYT2cJJUA6DpPYRQTCB1hZn8DDCFAncAThqjB2B8ZKIAJXRE4vQdY+7ADScXRP/zds&#10;TKgG00saOeHacGtg0NA4DruGIgTXNg0kdx56kEKcHMpzFngcj+Sya9NYh04zZzu8w5+X0ohGd06/&#10;H9dxEnlpAKdZNImSYS2fpDGdti7YVlxRpaeFGnQ49K0p1JDDsYAG0H1ljoVCYSb4kmN2uL4V8Qh0&#10;T5pN3YfCH6vtI0/oOovEcX03gXPQVyCbAQkcdXQ2wuFIM6Mc+qoc6fC+8rEub14w+MJ3QwPs/lgy&#10;sizS+6Is3Wto9Hp1W2qyZe4c4X9teXowPzabSelm5kqmr0+a7OBwsaDmz4ZpQUn5vYbpDYK1aGg0&#10;VmhoW95Kf17xXwBt7Mv+F9OKKDAX1MKgfZR4NmBznJ8ulw7rPGv5dWNlVrjh6rk1jNoNHCj8hGsP&#10;P+7E0t971OGItvwLAAD//wMAUEsDBBQABgAIAAAAIQC1cFm83AAAAAsBAAAPAAAAZHJzL2Rvd25y&#10;ZXYueG1sTI/NTsMwEITvSLyDtUjcqNO0NTTEqRASB44tIK6beBtHjddR7Lbh7XGlSnDan1nNflNu&#10;JteLE42h86xhPstAEDfedNxq+Px4e3gCESKywd4zafihAJvq9qbEwvgzb+m0i61IJhwK1GBjHAop&#10;Q2PJYZj5gThpez86jGkcW2lGPCdz18s8y5R02HH6YHGgV0vNYXd0GsKh5vwbVfe1VuNKPQ6rvbTv&#10;Wt/fTS/PICJN8e8YLvgJHarEVPsjmyB6Dct1ihKv9aLPl4u0qVOnFioHWZXyf4bqFwAA//8DAFBL&#10;AQItABQABgAIAAAAIQC2gziS/gAAAOEBAAATAAAAAAAAAAAAAAAAAAAAAABbQ29udGVudF9UeXBl&#10;c10ueG1sUEsBAi0AFAAGAAgAAAAhADj9If/WAAAAlAEAAAsAAAAAAAAAAAAAAAAALwEAAF9yZWxz&#10;Ly5yZWxzUEsBAi0AFAAGAAgAAAAhADF6+rHXAgAA6gkAAA4AAAAAAAAAAAAAAAAALgIAAGRycy9l&#10;Mm9Eb2MueG1sUEsBAi0AFAAGAAgAAAAhALVwWbzcAAAACwEAAA8AAAAAAAAAAAAAAAAAMQUAAGRy&#10;cy9kb3ducmV2LnhtbFBLBQYAAAAABAAEAPMAAAA6BgAAAAA=&#10;" path="m6946379,6096r-6083,l6940296,r-6096,l6096,,,,,6096,,10066020r6096,l6096,6096r6928104,l6934200,10066020r6096,l6946379,10066020r,-10059924xem6946392,10072129r-13,-6096l6940296,10066033r-6096,l6096,10066033r-6096,l,10072116r6096,l6934200,10072116r6096,l6934200,10072129r-6928104,l6096,10078212r6928104,l6940296,10078212r6083,l6946392,10072129xe" fillcolor="black" stroked="f">
                <v:path arrowok="t"/>
                <w10:wrap anchorx="page" anchory="page"/>
              </v:shape>
            </w:pict>
          </mc:Fallback>
        </mc:AlternateContent>
      </w:r>
      <w:r>
        <w:rPr>
          <w:rFonts w:ascii="Times New Roman"/>
          <w:noProof/>
          <w:sz w:val="20"/>
        </w:rPr>
        <w:drawing>
          <wp:inline distT="0" distB="0" distL="0" distR="0" wp14:anchorId="463B1163" wp14:editId="6316ECFD">
            <wp:extent cx="2874525" cy="23660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874525" cy="2366009"/>
                    </a:xfrm>
                    <a:prstGeom prst="rect">
                      <a:avLst/>
                    </a:prstGeom>
                  </pic:spPr>
                </pic:pic>
              </a:graphicData>
            </a:graphic>
          </wp:inline>
        </w:drawing>
      </w:r>
    </w:p>
    <w:p w14:paraId="11201679" w14:textId="77777777" w:rsidR="00726834" w:rsidRDefault="00726834">
      <w:pPr>
        <w:pStyle w:val="a3"/>
        <w:spacing w:before="537"/>
        <w:rPr>
          <w:rFonts w:ascii="Times New Roman"/>
          <w:sz w:val="48"/>
        </w:rPr>
      </w:pPr>
    </w:p>
    <w:p w14:paraId="3C08D2D8" w14:textId="77777777" w:rsidR="00940F1F" w:rsidRPr="00B67D21" w:rsidRDefault="00940F1F" w:rsidP="00940F1F">
      <w:pPr>
        <w:widowControl/>
        <w:autoSpaceDE/>
        <w:autoSpaceDN/>
        <w:spacing w:before="40" w:line="216" w:lineRule="auto"/>
        <w:jc w:val="center"/>
        <w:rPr>
          <w:rFonts w:ascii="Times New Roman" w:eastAsiaTheme="minorHAnsi" w:hAnsi="Times New Roman" w:cstheme="minorBidi"/>
          <w:b/>
          <w:color w:val="1F4E79"/>
          <w:sz w:val="48"/>
          <w:szCs w:val="48"/>
          <w:lang w:val="en-US"/>
        </w:rPr>
      </w:pPr>
      <w:r w:rsidRPr="00B67D21">
        <w:rPr>
          <w:rFonts w:ascii="Times New Roman" w:eastAsiaTheme="minorHAnsi" w:hAnsi="Times New Roman" w:cstheme="minorBidi"/>
          <w:b/>
          <w:color w:val="1F4E79"/>
          <w:sz w:val="48"/>
          <w:szCs w:val="48"/>
          <w:lang w:val="en-US"/>
        </w:rPr>
        <w:t>University of West Attica</w:t>
      </w:r>
    </w:p>
    <w:p w14:paraId="398D836F" w14:textId="77777777" w:rsidR="00940F1F" w:rsidRPr="00B67D21" w:rsidRDefault="00940F1F" w:rsidP="00940F1F">
      <w:pPr>
        <w:widowControl/>
        <w:autoSpaceDE/>
        <w:autoSpaceDN/>
        <w:spacing w:before="40" w:line="216" w:lineRule="auto"/>
        <w:jc w:val="center"/>
        <w:rPr>
          <w:rFonts w:ascii="Times New Roman" w:eastAsiaTheme="minorHAnsi" w:hAnsi="Times New Roman" w:cstheme="minorBidi"/>
          <w:b/>
          <w:color w:val="1F4E79"/>
          <w:sz w:val="56"/>
          <w:szCs w:val="56"/>
          <w:lang w:val="en-US"/>
        </w:rPr>
      </w:pPr>
    </w:p>
    <w:p w14:paraId="04F8006F" w14:textId="77777777" w:rsidR="00940F1F" w:rsidRPr="00B67D21" w:rsidRDefault="00940F1F" w:rsidP="00940F1F">
      <w:pPr>
        <w:widowControl/>
        <w:autoSpaceDE/>
        <w:autoSpaceDN/>
        <w:spacing w:before="40" w:line="216" w:lineRule="auto"/>
        <w:jc w:val="center"/>
        <w:rPr>
          <w:rFonts w:ascii="Times New Roman" w:eastAsiaTheme="minorHAnsi" w:hAnsi="Times New Roman" w:cstheme="minorBidi"/>
          <w:b/>
          <w:color w:val="1F4E79"/>
          <w:sz w:val="32"/>
          <w:szCs w:val="32"/>
          <w:lang w:val="en-US"/>
        </w:rPr>
      </w:pPr>
      <w:bookmarkStart w:id="0" w:name="_Hlk64705885"/>
      <w:r w:rsidRPr="00B67D21">
        <w:rPr>
          <w:rFonts w:ascii="Times New Roman" w:eastAsiaTheme="minorHAnsi" w:hAnsi="Times New Roman" w:cstheme="minorBidi"/>
          <w:b/>
          <w:color w:val="1F4E79"/>
          <w:sz w:val="32"/>
          <w:szCs w:val="32"/>
          <w:lang w:val="en-US"/>
        </w:rPr>
        <w:t>DEPARTMENT OF PUBLIC HEALTH POLICIES</w:t>
      </w:r>
    </w:p>
    <w:p w14:paraId="39356443" w14:textId="77777777" w:rsidR="00940F1F" w:rsidRPr="00B67D21" w:rsidRDefault="00940F1F" w:rsidP="00940F1F">
      <w:pPr>
        <w:widowControl/>
        <w:autoSpaceDE/>
        <w:autoSpaceDN/>
        <w:spacing w:before="40" w:line="216" w:lineRule="auto"/>
        <w:jc w:val="center"/>
        <w:rPr>
          <w:rFonts w:ascii="Times New Roman" w:eastAsiaTheme="minorHAnsi" w:hAnsi="Times New Roman" w:cstheme="minorBidi"/>
          <w:b/>
          <w:color w:val="1F4E79"/>
          <w:sz w:val="32"/>
          <w:szCs w:val="32"/>
          <w:lang w:val="en-US"/>
        </w:rPr>
      </w:pPr>
    </w:p>
    <w:bookmarkEnd w:id="0"/>
    <w:p w14:paraId="5054322F" w14:textId="77777777" w:rsidR="00940F1F" w:rsidRPr="00B67D21" w:rsidRDefault="00940F1F" w:rsidP="00940F1F">
      <w:pPr>
        <w:widowControl/>
        <w:autoSpaceDE/>
        <w:autoSpaceDN/>
        <w:spacing w:before="40"/>
        <w:jc w:val="center"/>
        <w:rPr>
          <w:rFonts w:ascii="Times New Roman" w:eastAsiaTheme="minorHAnsi" w:hAnsi="Times New Roman" w:cstheme="minorBidi"/>
          <w:b/>
          <w:caps/>
          <w:color w:val="0070C0"/>
          <w:sz w:val="32"/>
          <w:szCs w:val="32"/>
          <w:lang w:val="en-US"/>
        </w:rPr>
      </w:pPr>
      <w:r w:rsidRPr="00B67D21">
        <w:rPr>
          <w:rFonts w:ascii="Times New Roman" w:eastAsiaTheme="minorHAnsi" w:hAnsi="Times New Roman" w:cstheme="minorBidi"/>
          <w:b/>
          <w:caps/>
          <w:color w:val="0070C0"/>
          <w:sz w:val="32"/>
          <w:szCs w:val="32"/>
          <w:lang w:val="en-US"/>
        </w:rPr>
        <w:t>MASTER OF SCIENCE IN PUBLIC HEALTH</w:t>
      </w:r>
    </w:p>
    <w:p w14:paraId="482CDDB1" w14:textId="77777777" w:rsidR="00726834" w:rsidRPr="00940F1F" w:rsidRDefault="00726834">
      <w:pPr>
        <w:pStyle w:val="a3"/>
        <w:rPr>
          <w:rFonts w:ascii="Times New Roman"/>
          <w:b/>
          <w:sz w:val="20"/>
          <w:lang w:val="en-US"/>
        </w:rPr>
      </w:pPr>
    </w:p>
    <w:p w14:paraId="7C41998D" w14:textId="77777777" w:rsidR="00726834" w:rsidRPr="00940F1F" w:rsidRDefault="00726834">
      <w:pPr>
        <w:pStyle w:val="a3"/>
        <w:rPr>
          <w:rFonts w:ascii="Times New Roman"/>
          <w:b/>
          <w:sz w:val="20"/>
          <w:lang w:val="en-US"/>
        </w:rPr>
      </w:pPr>
    </w:p>
    <w:p w14:paraId="7BACB6A5" w14:textId="77777777" w:rsidR="00726834" w:rsidRPr="00940F1F" w:rsidRDefault="00726834">
      <w:pPr>
        <w:pStyle w:val="a3"/>
        <w:rPr>
          <w:rFonts w:ascii="Times New Roman"/>
          <w:b/>
          <w:sz w:val="20"/>
          <w:lang w:val="en-US"/>
        </w:rPr>
      </w:pPr>
    </w:p>
    <w:p w14:paraId="2BE7E508" w14:textId="77777777" w:rsidR="00726834" w:rsidRPr="00940F1F" w:rsidRDefault="00726834">
      <w:pPr>
        <w:pStyle w:val="a3"/>
        <w:rPr>
          <w:rFonts w:ascii="Times New Roman"/>
          <w:b/>
          <w:sz w:val="20"/>
          <w:lang w:val="en-US"/>
        </w:rPr>
      </w:pPr>
    </w:p>
    <w:p w14:paraId="7A4A3EF1" w14:textId="77777777" w:rsidR="00726834" w:rsidRPr="00940F1F" w:rsidRDefault="00726834">
      <w:pPr>
        <w:pStyle w:val="a3"/>
        <w:rPr>
          <w:rFonts w:ascii="Times New Roman"/>
          <w:b/>
          <w:sz w:val="20"/>
          <w:lang w:val="en-US"/>
        </w:rPr>
      </w:pPr>
    </w:p>
    <w:p w14:paraId="0D5D97FE" w14:textId="77777777" w:rsidR="00726834" w:rsidRPr="00940F1F" w:rsidRDefault="00726834">
      <w:pPr>
        <w:pStyle w:val="a3"/>
        <w:rPr>
          <w:rFonts w:ascii="Times New Roman"/>
          <w:b/>
          <w:sz w:val="20"/>
          <w:lang w:val="en-US"/>
        </w:rPr>
      </w:pPr>
    </w:p>
    <w:p w14:paraId="5A9CA93D" w14:textId="77777777" w:rsidR="00726834" w:rsidRPr="00940F1F" w:rsidRDefault="00726834">
      <w:pPr>
        <w:pStyle w:val="a3"/>
        <w:rPr>
          <w:rFonts w:ascii="Times New Roman"/>
          <w:b/>
          <w:sz w:val="20"/>
          <w:lang w:val="en-US"/>
        </w:rPr>
      </w:pPr>
    </w:p>
    <w:p w14:paraId="47156B51" w14:textId="77777777" w:rsidR="00726834" w:rsidRPr="00940F1F" w:rsidRDefault="00726834">
      <w:pPr>
        <w:pStyle w:val="a3"/>
        <w:rPr>
          <w:rFonts w:ascii="Times New Roman"/>
          <w:b/>
          <w:sz w:val="20"/>
          <w:lang w:val="en-US"/>
        </w:rPr>
      </w:pPr>
    </w:p>
    <w:p w14:paraId="1BC2DA52" w14:textId="77777777" w:rsidR="00726834" w:rsidRPr="00940F1F" w:rsidRDefault="00726834">
      <w:pPr>
        <w:pStyle w:val="a3"/>
        <w:rPr>
          <w:rFonts w:ascii="Times New Roman"/>
          <w:b/>
          <w:sz w:val="20"/>
          <w:lang w:val="en-US"/>
        </w:rPr>
      </w:pPr>
    </w:p>
    <w:p w14:paraId="1D3E31BD" w14:textId="79042F97" w:rsidR="00726834" w:rsidRPr="00940F1F" w:rsidRDefault="00940F1F" w:rsidP="00940F1F">
      <w:pPr>
        <w:pStyle w:val="a3"/>
        <w:spacing w:before="56"/>
        <w:jc w:val="center"/>
        <w:rPr>
          <w:rFonts w:ascii="Times New Roman"/>
          <w:b/>
          <w:color w:val="4F81BD" w:themeColor="accent1"/>
          <w:sz w:val="22"/>
          <w:szCs w:val="28"/>
          <w:lang w:val="en-US"/>
        </w:rPr>
      </w:pPr>
      <w:hyperlink r:id="rId6" w:tgtFrame="_blank" w:history="1">
        <w:r w:rsidRPr="00940F1F">
          <w:rPr>
            <w:rStyle w:val="a6"/>
            <w:rFonts w:ascii="Roboto" w:hAnsi="Roboto"/>
            <w:color w:val="4F81BD" w:themeColor="accent1"/>
            <w:sz w:val="28"/>
            <w:szCs w:val="28"/>
            <w:bdr w:val="none" w:sz="0" w:space="0" w:color="auto" w:frame="1"/>
            <w:shd w:val="clear" w:color="auto" w:fill="FFFFFF"/>
            <w:lang w:val="en-US"/>
          </w:rPr>
          <w:t>Regulation regarding the Institution of Academic Advisor</w:t>
        </w:r>
      </w:hyperlink>
    </w:p>
    <w:p w14:paraId="7606F11B" w14:textId="77777777" w:rsidR="00726834" w:rsidRPr="00940F1F" w:rsidRDefault="00726834">
      <w:pPr>
        <w:pStyle w:val="a3"/>
        <w:spacing w:before="45"/>
        <w:rPr>
          <w:rFonts w:ascii="Times New Roman"/>
          <w:b/>
          <w:sz w:val="20"/>
          <w:lang w:val="en-US"/>
        </w:rPr>
      </w:pPr>
    </w:p>
    <w:p w14:paraId="035C83A9" w14:textId="77777777" w:rsidR="00726834" w:rsidRPr="00940F1F" w:rsidRDefault="00726834">
      <w:pPr>
        <w:rPr>
          <w:rFonts w:ascii="Times New Roman"/>
          <w:sz w:val="20"/>
          <w:lang w:val="en-US"/>
        </w:rPr>
        <w:sectPr w:rsidR="00726834" w:rsidRPr="00940F1F">
          <w:type w:val="continuous"/>
          <w:pgSz w:w="11910" w:h="16840"/>
          <w:pgMar w:top="1480" w:right="1420" w:bottom="280" w:left="1420" w:header="720" w:footer="720" w:gutter="0"/>
          <w:cols w:space="720"/>
        </w:sectPr>
      </w:pPr>
    </w:p>
    <w:p w14:paraId="7AD6D668" w14:textId="1EEC5004" w:rsidR="00940F1F" w:rsidRPr="00940F1F" w:rsidRDefault="00940F1F">
      <w:pPr>
        <w:pStyle w:val="a3"/>
        <w:spacing w:before="60" w:line="276" w:lineRule="auto"/>
        <w:ind w:left="111" w:right="106"/>
        <w:jc w:val="both"/>
        <w:rPr>
          <w:color w:val="4F81BD" w:themeColor="accent1"/>
          <w:lang w:val="en-US"/>
        </w:rPr>
      </w:pPr>
      <w:hyperlink r:id="rId7" w:tgtFrame="_blank" w:history="1">
        <w:r w:rsidRPr="00940F1F">
          <w:rPr>
            <w:rStyle w:val="a6"/>
            <w:rFonts w:ascii="Roboto" w:hAnsi="Roboto"/>
            <w:color w:val="4F81BD" w:themeColor="accent1"/>
            <w:bdr w:val="none" w:sz="0" w:space="0" w:color="auto" w:frame="1"/>
            <w:shd w:val="clear" w:color="auto" w:fill="FFFFFF"/>
            <w:lang w:val="en-US"/>
          </w:rPr>
          <w:t>Regulation of Academic Advisor</w:t>
        </w:r>
      </w:hyperlink>
    </w:p>
    <w:p w14:paraId="676F2CE5" w14:textId="4640CEF2" w:rsidR="00940F1F" w:rsidRPr="00940F1F" w:rsidRDefault="00940F1F" w:rsidP="00940F1F">
      <w:pPr>
        <w:pStyle w:val="a3"/>
        <w:spacing w:before="60" w:line="276" w:lineRule="auto"/>
        <w:ind w:left="111" w:right="106"/>
        <w:jc w:val="both"/>
        <w:rPr>
          <w:lang w:val="en-US"/>
        </w:rPr>
      </w:pPr>
      <w:r w:rsidRPr="00940F1F">
        <w:rPr>
          <w:lang w:val="en-US"/>
        </w:rPr>
        <w:t xml:space="preserve">From the first day of their studies at </w:t>
      </w:r>
      <w:r>
        <w:rPr>
          <w:lang w:val="en-US"/>
        </w:rPr>
        <w:t>MSc</w:t>
      </w:r>
      <w:r w:rsidRPr="00940F1F">
        <w:rPr>
          <w:lang w:val="en-US"/>
        </w:rPr>
        <w:t>, a faculty member is appointed (a relevant announcement is issued by the Secretariat) as an Academic Advisor (Studies Advisor) (tutor), whose task is to:</w:t>
      </w:r>
    </w:p>
    <w:p w14:paraId="2F1A4C59" w14:textId="77777777" w:rsidR="00940F1F" w:rsidRPr="00940F1F" w:rsidRDefault="00940F1F" w:rsidP="00940F1F">
      <w:pPr>
        <w:pStyle w:val="a3"/>
        <w:spacing w:before="60" w:line="276" w:lineRule="auto"/>
        <w:ind w:left="111" w:right="106"/>
        <w:jc w:val="both"/>
        <w:rPr>
          <w:lang w:val="en-US"/>
        </w:rPr>
      </w:pPr>
      <w:r w:rsidRPr="00940F1F">
        <w:rPr>
          <w:lang w:val="en-US"/>
        </w:rPr>
        <w:t>• To be at the disposal of the student for the resolution of questions and everyday questions related to the educational, scientific and research work of the Department</w:t>
      </w:r>
    </w:p>
    <w:p w14:paraId="1EEFAF2D" w14:textId="77777777" w:rsidR="00940F1F" w:rsidRPr="00940F1F" w:rsidRDefault="00940F1F" w:rsidP="00940F1F">
      <w:pPr>
        <w:pStyle w:val="a3"/>
        <w:spacing w:before="60" w:line="276" w:lineRule="auto"/>
        <w:ind w:left="111" w:right="106"/>
        <w:jc w:val="both"/>
        <w:rPr>
          <w:lang w:val="en-US"/>
        </w:rPr>
      </w:pPr>
      <w:r w:rsidRPr="00940F1F">
        <w:rPr>
          <w:lang w:val="en-US"/>
        </w:rPr>
        <w:t>• To provide specific information about the curriculum</w:t>
      </w:r>
    </w:p>
    <w:p w14:paraId="6C2017B4" w14:textId="77777777" w:rsidR="00940F1F" w:rsidRPr="00940F1F" w:rsidRDefault="00940F1F" w:rsidP="00940F1F">
      <w:pPr>
        <w:pStyle w:val="a3"/>
        <w:spacing w:before="60" w:line="276" w:lineRule="auto"/>
        <w:ind w:left="111" w:right="106"/>
        <w:jc w:val="both"/>
        <w:rPr>
          <w:lang w:val="en-US"/>
        </w:rPr>
      </w:pPr>
      <w:r w:rsidRPr="00940F1F">
        <w:rPr>
          <w:lang w:val="en-US"/>
        </w:rPr>
        <w:t>• To advise the student in formulating the goals of his studies</w:t>
      </w:r>
    </w:p>
    <w:p w14:paraId="263A43BC" w14:textId="77777777" w:rsidR="00940F1F" w:rsidRPr="00940F1F" w:rsidRDefault="00940F1F" w:rsidP="00940F1F">
      <w:pPr>
        <w:pStyle w:val="a3"/>
        <w:spacing w:before="60" w:line="276" w:lineRule="auto"/>
        <w:ind w:left="111" w:right="106"/>
        <w:jc w:val="both"/>
        <w:rPr>
          <w:lang w:val="en-US"/>
        </w:rPr>
      </w:pPr>
      <w:r w:rsidRPr="00940F1F">
        <w:rPr>
          <w:lang w:val="en-US"/>
        </w:rPr>
        <w:t>• To discuss with him future plans for his professional and scientific advancement.</w:t>
      </w:r>
    </w:p>
    <w:p w14:paraId="24455A24" w14:textId="77777777" w:rsidR="00940F1F" w:rsidRPr="00940F1F" w:rsidRDefault="00940F1F" w:rsidP="00940F1F">
      <w:pPr>
        <w:pStyle w:val="a3"/>
        <w:spacing w:before="60" w:line="276" w:lineRule="auto"/>
        <w:ind w:left="111" w:right="106"/>
        <w:jc w:val="both"/>
        <w:rPr>
          <w:lang w:val="en-US"/>
        </w:rPr>
      </w:pPr>
    </w:p>
    <w:p w14:paraId="139FDE90" w14:textId="722F8C08" w:rsidR="00940F1F" w:rsidRPr="00940F1F" w:rsidRDefault="00940F1F" w:rsidP="00940F1F">
      <w:pPr>
        <w:pStyle w:val="a3"/>
        <w:spacing w:before="60" w:line="276" w:lineRule="auto"/>
        <w:ind w:left="111" w:right="106"/>
        <w:jc w:val="both"/>
        <w:rPr>
          <w:lang w:val="en-US"/>
        </w:rPr>
      </w:pPr>
      <w:r w:rsidRPr="00940F1F">
        <w:rPr>
          <w:lang w:val="en-US"/>
        </w:rPr>
        <w:t>After a proposal by the director of the MSc to the MSc Coordinating Committee, each student is assigned an Academic Advisor, from all the teachers in the postgraduate program. The list of Academic Advisors is announced before the start of the academic year and posted on the online learning platform Moodle. The Academic Advisor monitors the student's course, provides him with specific information about the program and the correlation of studies at PMS</w:t>
      </w:r>
    </w:p>
    <w:p w14:paraId="1296FB3F" w14:textId="7729F8BA" w:rsidR="00726834" w:rsidRPr="00940F1F" w:rsidRDefault="00940F1F" w:rsidP="00940F1F">
      <w:pPr>
        <w:pStyle w:val="a3"/>
        <w:spacing w:before="60" w:line="276" w:lineRule="auto"/>
        <w:ind w:left="111" w:right="106"/>
        <w:jc w:val="both"/>
        <w:rPr>
          <w:lang w:val="en-US"/>
        </w:rPr>
      </w:pPr>
      <w:r w:rsidRPr="00940F1F">
        <w:rPr>
          <w:lang w:val="en-US"/>
        </w:rPr>
        <w:t>"Public Health" with his scientific background and professional prospects, discusses with the student his future plans for his professional and scientific advancement, advises him on improving his learning in relation to the requirements of his studies, on the use of the resources and infrastructure of the Department, and, in general, for organizational or administrative matters and may propose matters concerning him to the director of the PMS. The Academic Adviser does not necessarily undertake the supervision of the student's thesis. It is strongly recommended to students to communicate regularly with their advisers [Article 62 Academic Advisers of Studies-Government Gazette 4621/t. B</w:t>
      </w:r>
      <w:r>
        <w:t>΄</w:t>
      </w:r>
      <w:r w:rsidRPr="00940F1F">
        <w:rPr>
          <w:lang w:val="en-US"/>
        </w:rPr>
        <w:t>/21-10-2020].</w:t>
      </w:r>
    </w:p>
    <w:sectPr w:rsidR="00726834" w:rsidRPr="00940F1F">
      <w:pgSz w:w="11910" w:h="16840"/>
      <w:pgMar w:top="138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21B"/>
    <w:multiLevelType w:val="hybridMultilevel"/>
    <w:tmpl w:val="D4C0578C"/>
    <w:lvl w:ilvl="0" w:tplc="ED9C0A90">
      <w:numFmt w:val="bullet"/>
      <w:lvlText w:val=""/>
      <w:lvlJc w:val="left"/>
      <w:pPr>
        <w:ind w:left="831" w:hanging="360"/>
      </w:pPr>
      <w:rPr>
        <w:rFonts w:ascii="Symbol" w:eastAsia="Symbol" w:hAnsi="Symbol" w:cs="Symbol" w:hint="default"/>
        <w:b w:val="0"/>
        <w:bCs w:val="0"/>
        <w:i w:val="0"/>
        <w:iCs w:val="0"/>
        <w:spacing w:val="0"/>
        <w:w w:val="100"/>
        <w:sz w:val="24"/>
        <w:szCs w:val="24"/>
        <w:lang w:val="el-GR" w:eastAsia="en-US" w:bidi="ar-SA"/>
      </w:rPr>
    </w:lvl>
    <w:lvl w:ilvl="1" w:tplc="8F985C18">
      <w:numFmt w:val="bullet"/>
      <w:lvlText w:val="•"/>
      <w:lvlJc w:val="left"/>
      <w:pPr>
        <w:ind w:left="1662" w:hanging="360"/>
      </w:pPr>
      <w:rPr>
        <w:rFonts w:hint="default"/>
        <w:lang w:val="el-GR" w:eastAsia="en-US" w:bidi="ar-SA"/>
      </w:rPr>
    </w:lvl>
    <w:lvl w:ilvl="2" w:tplc="63982B30">
      <w:numFmt w:val="bullet"/>
      <w:lvlText w:val="•"/>
      <w:lvlJc w:val="left"/>
      <w:pPr>
        <w:ind w:left="2485" w:hanging="360"/>
      </w:pPr>
      <w:rPr>
        <w:rFonts w:hint="default"/>
        <w:lang w:val="el-GR" w:eastAsia="en-US" w:bidi="ar-SA"/>
      </w:rPr>
    </w:lvl>
    <w:lvl w:ilvl="3" w:tplc="3918B866">
      <w:numFmt w:val="bullet"/>
      <w:lvlText w:val="•"/>
      <w:lvlJc w:val="left"/>
      <w:pPr>
        <w:ind w:left="3307" w:hanging="360"/>
      </w:pPr>
      <w:rPr>
        <w:rFonts w:hint="default"/>
        <w:lang w:val="el-GR" w:eastAsia="en-US" w:bidi="ar-SA"/>
      </w:rPr>
    </w:lvl>
    <w:lvl w:ilvl="4" w:tplc="CB52BF78">
      <w:numFmt w:val="bullet"/>
      <w:lvlText w:val="•"/>
      <w:lvlJc w:val="left"/>
      <w:pPr>
        <w:ind w:left="4130" w:hanging="360"/>
      </w:pPr>
      <w:rPr>
        <w:rFonts w:hint="default"/>
        <w:lang w:val="el-GR" w:eastAsia="en-US" w:bidi="ar-SA"/>
      </w:rPr>
    </w:lvl>
    <w:lvl w:ilvl="5" w:tplc="12F82126">
      <w:numFmt w:val="bullet"/>
      <w:lvlText w:val="•"/>
      <w:lvlJc w:val="left"/>
      <w:pPr>
        <w:ind w:left="4953" w:hanging="360"/>
      </w:pPr>
      <w:rPr>
        <w:rFonts w:hint="default"/>
        <w:lang w:val="el-GR" w:eastAsia="en-US" w:bidi="ar-SA"/>
      </w:rPr>
    </w:lvl>
    <w:lvl w:ilvl="6" w:tplc="1408FBC2">
      <w:numFmt w:val="bullet"/>
      <w:lvlText w:val="•"/>
      <w:lvlJc w:val="left"/>
      <w:pPr>
        <w:ind w:left="5775" w:hanging="360"/>
      </w:pPr>
      <w:rPr>
        <w:rFonts w:hint="default"/>
        <w:lang w:val="el-GR" w:eastAsia="en-US" w:bidi="ar-SA"/>
      </w:rPr>
    </w:lvl>
    <w:lvl w:ilvl="7" w:tplc="0862DCDC">
      <w:numFmt w:val="bullet"/>
      <w:lvlText w:val="•"/>
      <w:lvlJc w:val="left"/>
      <w:pPr>
        <w:ind w:left="6598" w:hanging="360"/>
      </w:pPr>
      <w:rPr>
        <w:rFonts w:hint="default"/>
        <w:lang w:val="el-GR" w:eastAsia="en-US" w:bidi="ar-SA"/>
      </w:rPr>
    </w:lvl>
    <w:lvl w:ilvl="8" w:tplc="62D29880">
      <w:numFmt w:val="bullet"/>
      <w:lvlText w:val="•"/>
      <w:lvlJc w:val="left"/>
      <w:pPr>
        <w:ind w:left="7421" w:hanging="360"/>
      </w:pPr>
      <w:rPr>
        <w:rFonts w:hint="default"/>
        <w:lang w:val="el-GR" w:eastAsia="en-US" w:bidi="ar-SA"/>
      </w:rPr>
    </w:lvl>
  </w:abstractNum>
  <w:num w:numId="1" w16cid:durableId="116354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6834"/>
    <w:rsid w:val="00726834"/>
    <w:rsid w:val="00940F1F"/>
    <w:rsid w:val="00CA37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1CF5"/>
  <w15:docId w15:val="{E4BBEA63-96C7-474E-AF86-9957B389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jc w:val="center"/>
    </w:pPr>
    <w:rPr>
      <w:rFonts w:ascii="Times New Roman" w:eastAsia="Times New Roman" w:hAnsi="Times New Roman" w:cs="Times New Roman"/>
      <w:b/>
      <w:bCs/>
      <w:sz w:val="48"/>
      <w:szCs w:val="48"/>
    </w:rPr>
  </w:style>
  <w:style w:type="paragraph" w:styleId="a5">
    <w:name w:val="List Paragraph"/>
    <w:basedOn w:val="a"/>
    <w:uiPriority w:val="1"/>
    <w:qFormat/>
    <w:pPr>
      <w:spacing w:before="1"/>
      <w:ind w:left="830" w:hanging="360"/>
      <w:jc w:val="both"/>
    </w:pPr>
  </w:style>
  <w:style w:type="paragraph" w:customStyle="1" w:styleId="TableParagraph">
    <w:name w:val="Table Paragraph"/>
    <w:basedOn w:val="a"/>
    <w:uiPriority w:val="1"/>
    <w:qFormat/>
  </w:style>
  <w:style w:type="character" w:styleId="a6">
    <w:name w:val="Strong"/>
    <w:basedOn w:val="a0"/>
    <w:uiPriority w:val="22"/>
    <w:qFormat/>
    <w:rsid w:val="00940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dy.uniwa.gr/wp-content/uploads/sites/385/2023/02/%CE%9A%CE%91%CE%9D%CE%9F%CE%9D%CE%99%CE%A3%CE%9C%CE%9F%CE%A3-%CE%9B%CE%95%CE%99%CE%A4%CE%9F%CE%A5%CE%A1%CE%93%CE%99%CE%91%CE%A3-%CE%98%CE%95%CE%A3%CE%9C%CE%9F%CE%A5-%CE%91%CE%9A.-%CE%A3%CE%A5%CE%9C%CE%92%CE%9F%CE%A5%CE%9B%CE%9F%CE%A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y.uniwa.gr/wp-content/uploads/sites/385/2023/02/%CE%9A%CE%91%CE%9D%CE%9F%CE%9D%CE%99%CE%A3%CE%9C%CE%9F%CE%A3-%CE%9B%CE%95%CE%99%CE%A4%CE%9F%CE%A5%CE%A1%CE%93%CE%99%CE%91%CE%A3-%CE%98%CE%95%CE%A3%CE%9C%CE%9F%CE%A5-%CE%91%CE%9A.-%CE%A3%CE%A5%CE%9C%CE%92%CE%9F%CE%A5%CE%9B%CE%9F%CE%A5.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2181</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Turbo-X</cp:lastModifiedBy>
  <cp:revision>2</cp:revision>
  <dcterms:created xsi:type="dcterms:W3CDTF">2024-07-31T10:19:00Z</dcterms:created>
  <dcterms:modified xsi:type="dcterms:W3CDTF">2024-07-31T10:24:00Z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Microsoft® Word 2016</vt:lpwstr>
  </property>
</Properties>
</file>